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南银理财珠联璧合鑫逸稳两年11期（低波款）封闭式公募人民币理财产品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南银理财珠联璧合鑫逸稳两年11期（低波款）封闭式公募人民币理财产品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Z7003223000026（投资者可依据该编码在中国理财网www.chinawealth.com.cn查询理财产品相关信息）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2023年02月22日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774,219,806.00份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国投泰康信托有限公司,平安资产管理有限责任公司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14,045,744.76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1.0643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1.0643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297,949,961.93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515,609,524.62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1.0700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截至报告期末，本产品Y60011份额净值为1.0644元，Y61011份额净值为1.0673元，Y62011份额净值为1.0702元。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299,764,605.88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36.22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150,124,313.00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23880488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23高教投资01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23镇江文旅03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23太湖湾08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23880483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23盐都交通01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泰州高教投资发展有限公司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23高教投资01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盐城市盐都交通建设发展有限公司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23盐都交通01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江苏武进太湖湾旅游发展有限公司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23太湖湾08</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镇江文化旅游产业集团有限责任公司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23镇江文旅03</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0120090000001050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