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Z7003223000069（投资者可依据该编码在中国理财网www.chinawealth.com.cn查询理财产品相关信息）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223,744,184.00份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58,876,256.28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69,366,053.74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108,962,164.93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截至报告期末，本产品Y60018份额净值为1.0587元，Y61018份额净值为1.0600元，Y62018份额净值为1.0612元。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74,444,204.59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61,270,709.87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镇江城市建设产业集团有限公司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产品支付关联方托管费0.00元，支付关联方代销费40,635.12元。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