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南银理财珠联璧合鑫逸稳两年24期封闭式公募人民币理财产品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南银理财珠联璧合鑫逸稳两年24期封闭式公募人民币理财产品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Z7003223000107（投资者可依据该编码在中国理财网www.chinawealth.com.cn查询理财产品相关信息）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2023年05月31日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417,705,464.00份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86,575,146.41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155,058,900.52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197,405,936.43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截至报告期末，本产品Y60024份额净值为1.0497元，Y61024份额净值为1.0509元，Y62024份额净值为1.0520元。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234,391,490.34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53.38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23881392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23江苏润鑫01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22.77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23881474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23常州新航01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23881441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23东台惠民01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江苏润鑫城市投资集团有限公司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23江苏润鑫01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常州新航建设发展集团有限公司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23常州新航01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东台惠民城镇化建设集团有限公司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23东台惠民01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0101030000000559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南京银行南京分行南银理财鑫逸稳两年24期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产品支付关联方托管费0.00元，支付关联方代销费82,404.74元。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